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C21B5" w14:textId="77777777" w:rsidR="00CA1FC0" w:rsidRDefault="00CA1FC0" w:rsidP="00CA1FC0">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Name:</w:t>
      </w:r>
    </w:p>
    <w:p w14:paraId="0D01E5CD" w14:textId="77777777" w:rsidR="00CA1FC0" w:rsidRDefault="00CA1FC0" w:rsidP="00CA1FC0">
      <w:pPr>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14:paraId="71E14F7F" w14:textId="77777777" w:rsidR="00CA1FC0" w:rsidRDefault="00CA1FC0" w:rsidP="00CA1FC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78CB2721" w14:textId="77777777" w:rsidR="00CA1FC0" w:rsidRDefault="00CA1FC0" w:rsidP="00CA1FC0">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3B03368" w14:textId="24A91C12" w:rsidR="00CA1FC0" w:rsidRPr="00CA1FC0" w:rsidRDefault="00CA1FC0" w:rsidP="00CA1FC0">
      <w:pPr>
        <w:jc w:val="center"/>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t>The Weekly Economic Report</w:t>
      </w:r>
    </w:p>
    <w:p w14:paraId="19B0DB33" w14:textId="77777777" w:rsidR="00CA1FC0" w:rsidRPr="00CA1FC0" w:rsidRDefault="00CA1FC0" w:rsidP="00CA1FC0">
      <w:pPr>
        <w:ind w:firstLine="720"/>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t xml:space="preserve">Supposing I was both the President and Fed Chairman in 2008, I would have subscribed to different levels and types of Fiscal and Monetary Policy. However, following closely to Keynesian opinions on how to bring back the economy after depression, the fiscal policy seems to work in the short run but not in the long run. In that, the economy follows a well-balanced cycle and in case there is a recession in the economy, the government increase demand by lowering the taxes and increasing government spending (expansionary policy). Through this policy, there is increased employment. In return, the economy is on peak cycle and it becomes hard for the government to bail out since man people will lose jobs and business will close down. </w:t>
      </w:r>
    </w:p>
    <w:p w14:paraId="30D5F2C5" w14:textId="77777777" w:rsidR="00CA1FC0" w:rsidRPr="00CA1FC0" w:rsidRDefault="00CA1FC0" w:rsidP="00CA1FC0">
      <w:pPr>
        <w:ind w:firstLine="720"/>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t>In 2008, there was a great financial crisis in the economy which led to a massive blow on demand. In response to this crisis, the central bank slashed their interest rates and by early 2009, most were close to zero almost approaching a zero lower bound. However, even after this monetary policy, there still was no significant growth in the economy. Meaning, pushing the interest rates almost to zero never helped since negative rates push people to withdraw their money from the banks and hold as liquid cash.</w:t>
      </w:r>
    </w:p>
    <w:p w14:paraId="1ACF2EBC" w14:textId="77777777" w:rsidR="00CA1FC0" w:rsidRPr="00CA1FC0" w:rsidRDefault="00CA1FC0" w:rsidP="00CA1FC0">
      <w:pPr>
        <w:ind w:firstLine="720"/>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t xml:space="preserve">To some extent, I would say the policies applied were effective. They eased in easing out the financial condition. Both fiscal and monetary policy may not address all economic problems in the economy but without them, the financial markets would be worse off and the economy needs a stable financial market to operate effectively. Therefore, I believe different levels and types of Fiscal and Monetary Policy would be appropriate by applying the expansionary fiscal policy in the short run and using </w:t>
      </w:r>
      <w:proofErr w:type="spellStart"/>
      <w:r w:rsidRPr="00CA1FC0">
        <w:rPr>
          <w:rFonts w:ascii="Times New Roman" w:eastAsia="Times New Roman" w:hAnsi="Times New Roman" w:cs="Times New Roman"/>
          <w:sz w:val="24"/>
          <w:szCs w:val="24"/>
        </w:rPr>
        <w:t>contractionary</w:t>
      </w:r>
      <w:proofErr w:type="spellEnd"/>
      <w:r w:rsidRPr="00CA1FC0">
        <w:rPr>
          <w:rFonts w:ascii="Times New Roman" w:eastAsia="Times New Roman" w:hAnsi="Times New Roman" w:cs="Times New Roman"/>
          <w:sz w:val="24"/>
          <w:szCs w:val="24"/>
        </w:rPr>
        <w:t xml:space="preserve"> monetary policy in the long run.</w:t>
      </w:r>
    </w:p>
    <w:p w14:paraId="19409A7F" w14:textId="77777777" w:rsidR="00CA1FC0" w:rsidRPr="00CA1FC0" w:rsidRDefault="00CA1FC0" w:rsidP="00CA1FC0">
      <w:pPr>
        <w:ind w:firstLine="720"/>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t>I think</w:t>
      </w:r>
      <w:proofErr w:type="gramStart"/>
      <w:r w:rsidRPr="00CA1FC0">
        <w:rPr>
          <w:rFonts w:ascii="Times New Roman" w:eastAsia="Times New Roman" w:hAnsi="Times New Roman" w:cs="Times New Roman"/>
          <w:sz w:val="24"/>
          <w:szCs w:val="24"/>
        </w:rPr>
        <w:t>,</w:t>
      </w:r>
      <w:proofErr w:type="gramEnd"/>
      <w:r w:rsidRPr="00CA1FC0">
        <w:rPr>
          <w:rFonts w:ascii="Times New Roman" w:eastAsia="Times New Roman" w:hAnsi="Times New Roman" w:cs="Times New Roman"/>
          <w:sz w:val="24"/>
          <w:szCs w:val="24"/>
        </w:rPr>
        <w:t xml:space="preserve"> if the economy was left to heal itself would have resulted in severe consequences on the people and the economy. Before the 1930s the classical economists were in support of the economy correcting itself with little or no intervention of the government in the economy. This seemed to work effectively where the forces of demand and supply were in operation in stabilizing the economy until the great depression which made the policymakers and the classical economists rethink on their policy. Since then, fiscal and monetary policies have effectively been used as the main policies to promote stability in the economy. </w:t>
      </w:r>
    </w:p>
    <w:p w14:paraId="5E73B674" w14:textId="77777777" w:rsidR="00CA1FC0" w:rsidRPr="00CA1FC0" w:rsidRDefault="00CA1FC0" w:rsidP="00CA1FC0">
      <w:pPr>
        <w:ind w:firstLine="720"/>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t xml:space="preserve">Through both fiscal and monetary policies, optimal economic performance is possible (stable and low inflation and maximum employment growth in the economy). Well, both are still ongoing progress in the economy even today, but their implementation is widely considered especially during recessions and times of economic distress. During economic slowdowns, both fiscal and monetary policies are often expansionary and during inflation, both fiscal and monetary policies are often </w:t>
      </w:r>
      <w:proofErr w:type="spellStart"/>
      <w:r w:rsidRPr="00CA1FC0">
        <w:rPr>
          <w:rFonts w:ascii="Times New Roman" w:eastAsia="Times New Roman" w:hAnsi="Times New Roman" w:cs="Times New Roman"/>
          <w:sz w:val="24"/>
          <w:szCs w:val="24"/>
        </w:rPr>
        <w:t>contractionary</w:t>
      </w:r>
      <w:proofErr w:type="spellEnd"/>
      <w:r w:rsidRPr="00CA1FC0">
        <w:rPr>
          <w:rFonts w:ascii="Times New Roman" w:eastAsia="Times New Roman" w:hAnsi="Times New Roman" w:cs="Times New Roman"/>
          <w:sz w:val="24"/>
          <w:szCs w:val="24"/>
        </w:rPr>
        <w:t xml:space="preserve">. Today, it is still a challenge to sustain an </w:t>
      </w:r>
      <w:r w:rsidRPr="00CA1FC0">
        <w:rPr>
          <w:rFonts w:ascii="Times New Roman" w:eastAsia="Times New Roman" w:hAnsi="Times New Roman" w:cs="Times New Roman"/>
          <w:sz w:val="24"/>
          <w:szCs w:val="24"/>
        </w:rPr>
        <w:lastRenderedPageBreak/>
        <w:t>expansionary fiscal policy since the government borrows to finance the budget deficit leading to insignificant improvements in the standard of living. The government will have to increase the tax or print more money (monetary policy) which increases inflation. All in all, appropriate fiscal and monetary policies are significant in maintaining economic growth and recovering the economy.</w:t>
      </w:r>
    </w:p>
    <w:p w14:paraId="182B6273" w14:textId="77777777" w:rsidR="00CA1FC0" w:rsidRDefault="00CA1FC0" w:rsidP="00CA1FC0">
      <w:pPr>
        <w:rPr>
          <w:rFonts w:ascii="Times New Roman" w:eastAsia="Times New Roman" w:hAnsi="Times New Roman" w:cs="Times New Roman"/>
          <w:sz w:val="24"/>
          <w:szCs w:val="24"/>
        </w:rPr>
      </w:pPr>
    </w:p>
    <w:p w14:paraId="4B13842B" w14:textId="77777777" w:rsidR="00CA1FC0" w:rsidRDefault="00CA1FC0" w:rsidP="00CA1FC0">
      <w:pPr>
        <w:rPr>
          <w:rFonts w:ascii="Times New Roman" w:eastAsia="Times New Roman" w:hAnsi="Times New Roman" w:cs="Times New Roman"/>
          <w:sz w:val="24"/>
          <w:szCs w:val="24"/>
        </w:rPr>
      </w:pPr>
    </w:p>
    <w:p w14:paraId="46C25291" w14:textId="77777777" w:rsidR="00CA1FC0" w:rsidRDefault="00CA1FC0" w:rsidP="00CA1FC0">
      <w:pPr>
        <w:rPr>
          <w:rFonts w:ascii="Times New Roman" w:eastAsia="Times New Roman" w:hAnsi="Times New Roman" w:cs="Times New Roman"/>
          <w:sz w:val="24"/>
          <w:szCs w:val="24"/>
        </w:rPr>
      </w:pPr>
    </w:p>
    <w:p w14:paraId="27E66290" w14:textId="77777777" w:rsidR="00CA1FC0" w:rsidRDefault="00CA1FC0" w:rsidP="00CA1FC0">
      <w:pPr>
        <w:rPr>
          <w:rFonts w:ascii="Times New Roman" w:eastAsia="Times New Roman" w:hAnsi="Times New Roman" w:cs="Times New Roman"/>
          <w:sz w:val="24"/>
          <w:szCs w:val="24"/>
        </w:rPr>
      </w:pPr>
    </w:p>
    <w:p w14:paraId="4C5FF8A4" w14:textId="77777777" w:rsidR="00CA1FC0" w:rsidRDefault="00CA1FC0" w:rsidP="00CA1FC0">
      <w:pPr>
        <w:rPr>
          <w:rFonts w:ascii="Times New Roman" w:eastAsia="Times New Roman" w:hAnsi="Times New Roman" w:cs="Times New Roman"/>
          <w:sz w:val="24"/>
          <w:szCs w:val="24"/>
        </w:rPr>
      </w:pPr>
    </w:p>
    <w:p w14:paraId="18D28C9D" w14:textId="77777777" w:rsidR="00CA1FC0" w:rsidRDefault="00CA1FC0" w:rsidP="00CA1FC0">
      <w:pPr>
        <w:rPr>
          <w:rFonts w:ascii="Times New Roman" w:eastAsia="Times New Roman" w:hAnsi="Times New Roman" w:cs="Times New Roman"/>
          <w:sz w:val="24"/>
          <w:szCs w:val="24"/>
        </w:rPr>
      </w:pPr>
    </w:p>
    <w:p w14:paraId="60691F20" w14:textId="77777777" w:rsidR="00CA1FC0" w:rsidRDefault="00CA1FC0" w:rsidP="00CA1FC0">
      <w:pPr>
        <w:rPr>
          <w:rFonts w:ascii="Times New Roman" w:eastAsia="Times New Roman" w:hAnsi="Times New Roman" w:cs="Times New Roman"/>
          <w:sz w:val="24"/>
          <w:szCs w:val="24"/>
        </w:rPr>
      </w:pPr>
    </w:p>
    <w:p w14:paraId="3BDC0264" w14:textId="77777777" w:rsidR="00CA1FC0" w:rsidRDefault="00CA1FC0" w:rsidP="00CA1FC0">
      <w:pPr>
        <w:rPr>
          <w:rFonts w:ascii="Times New Roman" w:eastAsia="Times New Roman" w:hAnsi="Times New Roman" w:cs="Times New Roman"/>
          <w:sz w:val="24"/>
          <w:szCs w:val="24"/>
        </w:rPr>
      </w:pPr>
    </w:p>
    <w:p w14:paraId="02548229" w14:textId="77777777" w:rsidR="00CA1FC0" w:rsidRDefault="00CA1FC0" w:rsidP="00CA1FC0">
      <w:pPr>
        <w:rPr>
          <w:rFonts w:ascii="Times New Roman" w:eastAsia="Times New Roman" w:hAnsi="Times New Roman" w:cs="Times New Roman"/>
          <w:sz w:val="24"/>
          <w:szCs w:val="24"/>
        </w:rPr>
      </w:pPr>
    </w:p>
    <w:p w14:paraId="7F120B79" w14:textId="77777777" w:rsidR="00CA1FC0" w:rsidRDefault="00CA1FC0" w:rsidP="00CA1FC0">
      <w:pPr>
        <w:rPr>
          <w:rFonts w:ascii="Times New Roman" w:eastAsia="Times New Roman" w:hAnsi="Times New Roman" w:cs="Times New Roman"/>
          <w:sz w:val="24"/>
          <w:szCs w:val="24"/>
        </w:rPr>
      </w:pPr>
    </w:p>
    <w:p w14:paraId="724F2415" w14:textId="77777777" w:rsidR="00CA1FC0" w:rsidRDefault="00CA1FC0" w:rsidP="00CA1FC0">
      <w:pPr>
        <w:rPr>
          <w:rFonts w:ascii="Times New Roman" w:eastAsia="Times New Roman" w:hAnsi="Times New Roman" w:cs="Times New Roman"/>
          <w:sz w:val="24"/>
          <w:szCs w:val="24"/>
        </w:rPr>
      </w:pPr>
    </w:p>
    <w:p w14:paraId="61282599" w14:textId="77777777" w:rsidR="00CA1FC0" w:rsidRDefault="00CA1FC0" w:rsidP="00CA1FC0">
      <w:pPr>
        <w:rPr>
          <w:rFonts w:ascii="Times New Roman" w:eastAsia="Times New Roman" w:hAnsi="Times New Roman" w:cs="Times New Roman"/>
          <w:sz w:val="24"/>
          <w:szCs w:val="24"/>
        </w:rPr>
      </w:pPr>
    </w:p>
    <w:p w14:paraId="5C37550B" w14:textId="77777777" w:rsidR="00CA1FC0" w:rsidRDefault="00CA1FC0" w:rsidP="00CA1FC0">
      <w:pPr>
        <w:rPr>
          <w:rFonts w:ascii="Times New Roman" w:eastAsia="Times New Roman" w:hAnsi="Times New Roman" w:cs="Times New Roman"/>
          <w:sz w:val="24"/>
          <w:szCs w:val="24"/>
        </w:rPr>
      </w:pPr>
    </w:p>
    <w:p w14:paraId="51C66781" w14:textId="77777777" w:rsidR="00CA1FC0" w:rsidRDefault="00CA1FC0" w:rsidP="00CA1FC0">
      <w:pPr>
        <w:rPr>
          <w:rFonts w:ascii="Times New Roman" w:eastAsia="Times New Roman" w:hAnsi="Times New Roman" w:cs="Times New Roman"/>
          <w:sz w:val="24"/>
          <w:szCs w:val="24"/>
        </w:rPr>
      </w:pPr>
    </w:p>
    <w:p w14:paraId="437D97E7" w14:textId="77777777" w:rsidR="00CA1FC0" w:rsidRDefault="00CA1FC0" w:rsidP="00CA1FC0">
      <w:pPr>
        <w:rPr>
          <w:rFonts w:ascii="Times New Roman" w:eastAsia="Times New Roman" w:hAnsi="Times New Roman" w:cs="Times New Roman"/>
          <w:sz w:val="24"/>
          <w:szCs w:val="24"/>
        </w:rPr>
      </w:pPr>
    </w:p>
    <w:p w14:paraId="4439632B" w14:textId="77777777" w:rsidR="00CA1FC0" w:rsidRDefault="00CA1FC0" w:rsidP="00CA1FC0">
      <w:pPr>
        <w:rPr>
          <w:rFonts w:ascii="Times New Roman" w:eastAsia="Times New Roman" w:hAnsi="Times New Roman" w:cs="Times New Roman"/>
          <w:sz w:val="24"/>
          <w:szCs w:val="24"/>
        </w:rPr>
      </w:pPr>
    </w:p>
    <w:p w14:paraId="689E31D3" w14:textId="77777777" w:rsidR="00CA1FC0" w:rsidRDefault="00CA1FC0" w:rsidP="00CA1FC0">
      <w:pPr>
        <w:rPr>
          <w:rFonts w:ascii="Times New Roman" w:eastAsia="Times New Roman" w:hAnsi="Times New Roman" w:cs="Times New Roman"/>
          <w:sz w:val="24"/>
          <w:szCs w:val="24"/>
        </w:rPr>
      </w:pPr>
    </w:p>
    <w:p w14:paraId="17EA5741" w14:textId="77777777" w:rsidR="00CA1FC0" w:rsidRDefault="00CA1FC0" w:rsidP="00CA1FC0">
      <w:pPr>
        <w:rPr>
          <w:rFonts w:ascii="Times New Roman" w:eastAsia="Times New Roman" w:hAnsi="Times New Roman" w:cs="Times New Roman"/>
          <w:sz w:val="24"/>
          <w:szCs w:val="24"/>
        </w:rPr>
      </w:pPr>
    </w:p>
    <w:p w14:paraId="142205CC" w14:textId="77777777" w:rsidR="00CA1FC0" w:rsidRDefault="00CA1FC0" w:rsidP="00CA1FC0">
      <w:pPr>
        <w:rPr>
          <w:rFonts w:ascii="Times New Roman" w:eastAsia="Times New Roman" w:hAnsi="Times New Roman" w:cs="Times New Roman"/>
          <w:sz w:val="24"/>
          <w:szCs w:val="24"/>
        </w:rPr>
      </w:pPr>
    </w:p>
    <w:p w14:paraId="78452AE3" w14:textId="77777777" w:rsidR="00CA1FC0" w:rsidRDefault="00CA1FC0" w:rsidP="00CA1FC0">
      <w:pPr>
        <w:rPr>
          <w:rFonts w:ascii="Times New Roman" w:eastAsia="Times New Roman" w:hAnsi="Times New Roman" w:cs="Times New Roman"/>
          <w:sz w:val="24"/>
          <w:szCs w:val="24"/>
        </w:rPr>
      </w:pPr>
    </w:p>
    <w:p w14:paraId="108B471F" w14:textId="77777777" w:rsidR="00CA1FC0" w:rsidRDefault="00CA1FC0" w:rsidP="00CA1FC0">
      <w:pPr>
        <w:rPr>
          <w:rFonts w:ascii="Times New Roman" w:eastAsia="Times New Roman" w:hAnsi="Times New Roman" w:cs="Times New Roman"/>
          <w:sz w:val="24"/>
          <w:szCs w:val="24"/>
        </w:rPr>
      </w:pPr>
    </w:p>
    <w:p w14:paraId="4A341F17" w14:textId="77777777" w:rsidR="00CA1FC0" w:rsidRDefault="00CA1FC0" w:rsidP="00CA1FC0">
      <w:pPr>
        <w:rPr>
          <w:rFonts w:ascii="Times New Roman" w:eastAsia="Times New Roman" w:hAnsi="Times New Roman" w:cs="Times New Roman"/>
          <w:sz w:val="24"/>
          <w:szCs w:val="24"/>
        </w:rPr>
      </w:pPr>
    </w:p>
    <w:p w14:paraId="4C99A35A" w14:textId="77777777" w:rsidR="00CA1FC0" w:rsidRDefault="00CA1FC0" w:rsidP="00CA1FC0">
      <w:pPr>
        <w:rPr>
          <w:rFonts w:ascii="Times New Roman" w:eastAsia="Times New Roman" w:hAnsi="Times New Roman" w:cs="Times New Roman"/>
          <w:sz w:val="24"/>
          <w:szCs w:val="24"/>
        </w:rPr>
      </w:pPr>
    </w:p>
    <w:p w14:paraId="3D1C800C" w14:textId="77777777" w:rsidR="00CA1FC0" w:rsidRDefault="00CA1FC0" w:rsidP="00CA1FC0">
      <w:pPr>
        <w:rPr>
          <w:rFonts w:ascii="Times New Roman" w:eastAsia="Times New Roman" w:hAnsi="Times New Roman" w:cs="Times New Roman"/>
          <w:sz w:val="24"/>
          <w:szCs w:val="24"/>
        </w:rPr>
      </w:pPr>
    </w:p>
    <w:p w14:paraId="096929B9" w14:textId="77777777" w:rsidR="00CA1FC0" w:rsidRPr="00CA1FC0" w:rsidRDefault="00CA1FC0" w:rsidP="00CA1FC0">
      <w:pPr>
        <w:rPr>
          <w:rFonts w:ascii="Times New Roman" w:eastAsia="Times New Roman" w:hAnsi="Times New Roman" w:cs="Times New Roman"/>
          <w:sz w:val="24"/>
          <w:szCs w:val="24"/>
        </w:rPr>
      </w:pPr>
    </w:p>
    <w:p w14:paraId="536C953E" w14:textId="58BA9349" w:rsidR="00CA1FC0" w:rsidRPr="00CA1FC0" w:rsidRDefault="00CA1FC0" w:rsidP="00CA1FC0">
      <w:pPr>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lastRenderedPageBreak/>
        <w:t>Work cited</w:t>
      </w:r>
    </w:p>
    <w:p w14:paraId="4DC02CC5" w14:textId="22725E1F" w:rsidR="00CA1FC0" w:rsidRPr="00CA1FC0" w:rsidRDefault="00CA1FC0" w:rsidP="00CA1FC0">
      <w:pPr>
        <w:shd w:val="clear" w:color="auto" w:fill="FFFFFF"/>
        <w:spacing w:before="180" w:after="180" w:line="240" w:lineRule="auto"/>
        <w:ind w:left="720" w:hanging="720"/>
        <w:jc w:val="both"/>
        <w:rPr>
          <w:rFonts w:ascii="Times New Roman" w:eastAsia="Times New Roman" w:hAnsi="Times New Roman" w:cs="Times New Roman"/>
          <w:sz w:val="24"/>
          <w:szCs w:val="24"/>
        </w:rPr>
      </w:pPr>
      <w:r w:rsidRPr="00CA1FC0">
        <w:rPr>
          <w:rFonts w:ascii="Times New Roman" w:eastAsia="Times New Roman" w:hAnsi="Times New Roman" w:cs="Times New Roman"/>
          <w:sz w:val="24"/>
          <w:szCs w:val="24"/>
        </w:rPr>
        <w:t> </w:t>
      </w:r>
      <w:r w:rsidRPr="00CA1FC0">
        <w:rPr>
          <w:rFonts w:ascii="Times New Roman" w:hAnsi="Times New Roman" w:cs="Times New Roman"/>
          <w:sz w:val="24"/>
          <w:szCs w:val="24"/>
        </w:rPr>
        <w:t>Altman, Roger C. "The great crash, 2</w:t>
      </w:r>
      <w:r w:rsidRPr="00CA1FC0">
        <w:rPr>
          <w:rFonts w:ascii="Times New Roman" w:hAnsi="Times New Roman" w:cs="Times New Roman"/>
          <w:sz w:val="24"/>
          <w:szCs w:val="24"/>
        </w:rPr>
        <w:t xml:space="preserve">008." </w:t>
      </w:r>
      <w:proofErr w:type="gramStart"/>
      <w:r w:rsidRPr="00CA1FC0">
        <w:rPr>
          <w:rFonts w:ascii="Times New Roman" w:hAnsi="Times New Roman" w:cs="Times New Roman"/>
          <w:sz w:val="24"/>
          <w:szCs w:val="24"/>
        </w:rPr>
        <w:t xml:space="preserve">Foreign </w:t>
      </w:r>
      <w:proofErr w:type="spellStart"/>
      <w:r w:rsidRPr="00CA1FC0">
        <w:rPr>
          <w:rFonts w:ascii="Times New Roman" w:hAnsi="Times New Roman" w:cs="Times New Roman"/>
          <w:sz w:val="24"/>
          <w:szCs w:val="24"/>
        </w:rPr>
        <w:t>Aff</w:t>
      </w:r>
      <w:proofErr w:type="spellEnd"/>
      <w:r w:rsidRPr="00CA1FC0">
        <w:rPr>
          <w:rFonts w:ascii="Times New Roman" w:hAnsi="Times New Roman" w:cs="Times New Roman"/>
          <w:sz w:val="24"/>
          <w:szCs w:val="24"/>
        </w:rPr>
        <w:t>.</w:t>
      </w:r>
      <w:proofErr w:type="gramEnd"/>
      <w:r w:rsidRPr="00CA1FC0">
        <w:rPr>
          <w:rFonts w:ascii="Times New Roman" w:hAnsi="Times New Roman" w:cs="Times New Roman"/>
          <w:sz w:val="24"/>
          <w:szCs w:val="24"/>
        </w:rPr>
        <w:t xml:space="preserve"> 88 (2009)</w:t>
      </w:r>
    </w:p>
    <w:p w14:paraId="60826D9D" w14:textId="77777777" w:rsidR="00CA1FC0" w:rsidRPr="00CA1FC0" w:rsidRDefault="00CA1FC0" w:rsidP="00CA1FC0">
      <w:pPr>
        <w:shd w:val="clear" w:color="auto" w:fill="FFFFFF"/>
        <w:spacing w:beforeAutospacing="1" w:after="0" w:afterAutospacing="1" w:line="240" w:lineRule="auto"/>
        <w:ind w:left="720" w:hanging="720"/>
        <w:jc w:val="both"/>
        <w:rPr>
          <w:rFonts w:ascii="Times New Roman" w:eastAsia="Times New Roman" w:hAnsi="Times New Roman" w:cs="Times New Roman"/>
          <w:sz w:val="24"/>
          <w:szCs w:val="24"/>
        </w:rPr>
      </w:pPr>
      <w:hyperlink r:id="rId8" w:history="1">
        <w:r w:rsidRPr="00CA1FC0">
          <w:rPr>
            <w:rStyle w:val="Hyperlink"/>
            <w:rFonts w:ascii="Times New Roman" w:hAnsi="Times New Roman" w:cs="Times New Roman"/>
            <w:color w:val="auto"/>
            <w:sz w:val="24"/>
            <w:szCs w:val="24"/>
            <w:u w:val="none"/>
          </w:rPr>
          <w:t>https://www.khanacademy.org/economics-finance-domain/macroeconomics/income-and-expenditure-topic/macroeconomics-keynesian-economics-and-its-critiques/v/keynesian-economics</w:t>
        </w:r>
      </w:hyperlink>
    </w:p>
    <w:p w14:paraId="06B3F708" w14:textId="77777777" w:rsidR="00CA1FC0" w:rsidRPr="00CA1FC0" w:rsidRDefault="00CA1FC0" w:rsidP="00CA1FC0">
      <w:pPr>
        <w:shd w:val="clear" w:color="auto" w:fill="FFFFFF"/>
        <w:spacing w:before="180" w:after="180" w:line="240" w:lineRule="auto"/>
        <w:ind w:left="720" w:hanging="720"/>
        <w:jc w:val="both"/>
        <w:rPr>
          <w:rFonts w:ascii="Times New Roman" w:eastAsia="Times New Roman" w:hAnsi="Times New Roman" w:cs="Times New Roman"/>
          <w:sz w:val="24"/>
          <w:szCs w:val="24"/>
        </w:rPr>
      </w:pPr>
      <w:hyperlink r:id="rId9" w:history="1">
        <w:r w:rsidRPr="00CA1FC0">
          <w:rPr>
            <w:rStyle w:val="Hyperlink"/>
            <w:rFonts w:ascii="Times New Roman" w:hAnsi="Times New Roman" w:cs="Times New Roman"/>
            <w:color w:val="auto"/>
            <w:sz w:val="24"/>
            <w:szCs w:val="24"/>
            <w:u w:val="none"/>
          </w:rPr>
          <w:t>https://www.khanacademy.org/economics-finance-domain/macroeconomics/income-and-expenditure-topic/macroeconomics-keynesian-economics-and-its-critiques/v/risks-of-keynesian-thinking</w:t>
        </w:r>
      </w:hyperlink>
    </w:p>
    <w:p w14:paraId="41189CF6" w14:textId="77777777" w:rsidR="00CA1FC0" w:rsidRPr="00CA1FC0" w:rsidRDefault="00CA1FC0" w:rsidP="00CA1FC0">
      <w:pPr>
        <w:spacing w:line="240" w:lineRule="auto"/>
        <w:ind w:left="720" w:hanging="720"/>
        <w:jc w:val="both"/>
        <w:rPr>
          <w:rFonts w:ascii="Times New Roman" w:hAnsi="Times New Roman" w:cs="Times New Roman"/>
          <w:sz w:val="24"/>
          <w:szCs w:val="24"/>
        </w:rPr>
      </w:pPr>
      <w:proofErr w:type="spellStart"/>
      <w:r w:rsidRPr="00CA1FC0">
        <w:rPr>
          <w:rFonts w:ascii="Times New Roman" w:hAnsi="Times New Roman" w:cs="Times New Roman"/>
          <w:sz w:val="24"/>
          <w:szCs w:val="24"/>
        </w:rPr>
        <w:t>Shiller</w:t>
      </w:r>
      <w:proofErr w:type="spellEnd"/>
      <w:r w:rsidRPr="00CA1FC0">
        <w:rPr>
          <w:rFonts w:ascii="Times New Roman" w:hAnsi="Times New Roman" w:cs="Times New Roman"/>
          <w:sz w:val="24"/>
          <w:szCs w:val="24"/>
        </w:rPr>
        <w:t>, Robert J. "How should the financial crisis change how we teach economics</w:t>
      </w:r>
      <w:proofErr w:type="gramStart"/>
      <w:r w:rsidRPr="00CA1FC0">
        <w:rPr>
          <w:rFonts w:ascii="Times New Roman" w:hAnsi="Times New Roman" w:cs="Times New Roman"/>
          <w:sz w:val="24"/>
          <w:szCs w:val="24"/>
        </w:rPr>
        <w:t>?.</w:t>
      </w:r>
      <w:proofErr w:type="gramEnd"/>
      <w:r w:rsidRPr="00CA1FC0">
        <w:rPr>
          <w:rFonts w:ascii="Times New Roman" w:hAnsi="Times New Roman" w:cs="Times New Roman"/>
          <w:sz w:val="24"/>
          <w:szCs w:val="24"/>
        </w:rPr>
        <w:t>" The Journal of Economic Education 41.4 (2010): 403-409.</w:t>
      </w:r>
    </w:p>
    <w:p w14:paraId="27C9DA00" w14:textId="77777777" w:rsidR="004040EC" w:rsidRPr="00CA1FC0" w:rsidRDefault="004040EC">
      <w:pPr>
        <w:rPr>
          <w:rFonts w:ascii="Times New Roman" w:hAnsi="Times New Roman" w:cs="Times New Roman"/>
          <w:sz w:val="24"/>
          <w:szCs w:val="24"/>
        </w:rPr>
      </w:pPr>
    </w:p>
    <w:sectPr w:rsidR="004040EC" w:rsidRPr="00CA1FC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3080B" w14:textId="77777777" w:rsidR="00757563" w:rsidRDefault="00757563" w:rsidP="00CA1FC0">
      <w:pPr>
        <w:spacing w:after="0" w:line="240" w:lineRule="auto"/>
      </w:pPr>
      <w:r>
        <w:separator/>
      </w:r>
    </w:p>
  </w:endnote>
  <w:endnote w:type="continuationSeparator" w:id="0">
    <w:p w14:paraId="7757F747" w14:textId="77777777" w:rsidR="00757563" w:rsidRDefault="00757563" w:rsidP="00CA1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BF892" w14:textId="77777777" w:rsidR="00757563" w:rsidRDefault="00757563" w:rsidP="00CA1FC0">
      <w:pPr>
        <w:spacing w:after="0" w:line="240" w:lineRule="auto"/>
      </w:pPr>
      <w:r>
        <w:separator/>
      </w:r>
    </w:p>
  </w:footnote>
  <w:footnote w:type="continuationSeparator" w:id="0">
    <w:p w14:paraId="5E95E3F6" w14:textId="77777777" w:rsidR="00757563" w:rsidRDefault="00757563" w:rsidP="00CA1F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23450312"/>
      <w:docPartObj>
        <w:docPartGallery w:val="Page Numbers (Top of Page)"/>
        <w:docPartUnique/>
      </w:docPartObj>
    </w:sdtPr>
    <w:sdtEndPr>
      <w:rPr>
        <w:noProof/>
      </w:rPr>
    </w:sdtEndPr>
    <w:sdtContent>
      <w:p w14:paraId="41BE949D" w14:textId="5428FB8F" w:rsidR="00CA1FC0" w:rsidRPr="00CA1FC0" w:rsidRDefault="00CA1FC0">
        <w:pPr>
          <w:pStyle w:val="Header"/>
          <w:jc w:val="right"/>
          <w:rPr>
            <w:rFonts w:ascii="Times New Roman" w:hAnsi="Times New Roman" w:cs="Times New Roman"/>
            <w:sz w:val="24"/>
            <w:szCs w:val="24"/>
          </w:rPr>
        </w:pPr>
        <w:r w:rsidRPr="00CA1FC0">
          <w:rPr>
            <w:rFonts w:ascii="Times New Roman" w:hAnsi="Times New Roman" w:cs="Times New Roman"/>
            <w:sz w:val="24"/>
            <w:szCs w:val="24"/>
          </w:rPr>
          <w:t xml:space="preserve">Surname </w:t>
        </w:r>
        <w:r w:rsidRPr="00CA1FC0">
          <w:rPr>
            <w:rFonts w:ascii="Times New Roman" w:hAnsi="Times New Roman" w:cs="Times New Roman"/>
            <w:sz w:val="24"/>
            <w:szCs w:val="24"/>
          </w:rPr>
          <w:fldChar w:fldCharType="begin"/>
        </w:r>
        <w:r w:rsidRPr="00CA1FC0">
          <w:rPr>
            <w:rFonts w:ascii="Times New Roman" w:hAnsi="Times New Roman" w:cs="Times New Roman"/>
            <w:sz w:val="24"/>
            <w:szCs w:val="24"/>
          </w:rPr>
          <w:instrText xml:space="preserve"> PAGE   \* MERGEFORMAT </w:instrText>
        </w:r>
        <w:r w:rsidRPr="00CA1FC0">
          <w:rPr>
            <w:rFonts w:ascii="Times New Roman" w:hAnsi="Times New Roman" w:cs="Times New Roman"/>
            <w:sz w:val="24"/>
            <w:szCs w:val="24"/>
          </w:rPr>
          <w:fldChar w:fldCharType="separate"/>
        </w:r>
        <w:r>
          <w:rPr>
            <w:rFonts w:ascii="Times New Roman" w:hAnsi="Times New Roman" w:cs="Times New Roman"/>
            <w:noProof/>
            <w:sz w:val="24"/>
            <w:szCs w:val="24"/>
          </w:rPr>
          <w:t>1</w:t>
        </w:r>
        <w:r w:rsidRPr="00CA1FC0">
          <w:rPr>
            <w:rFonts w:ascii="Times New Roman" w:hAnsi="Times New Roman" w:cs="Times New Roman"/>
            <w:noProof/>
            <w:sz w:val="24"/>
            <w:szCs w:val="24"/>
          </w:rPr>
          <w:fldChar w:fldCharType="end"/>
        </w:r>
      </w:p>
    </w:sdtContent>
  </w:sdt>
  <w:p w14:paraId="3DEDE541" w14:textId="77777777" w:rsidR="00CA1FC0" w:rsidRPr="00CA1FC0" w:rsidRDefault="00CA1FC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B6A39"/>
    <w:multiLevelType w:val="multilevel"/>
    <w:tmpl w:val="BA4EF7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21153AE"/>
    <w:multiLevelType w:val="multilevel"/>
    <w:tmpl w:val="24AC5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553"/>
    <w:rsid w:val="000D0CDF"/>
    <w:rsid w:val="001C59EE"/>
    <w:rsid w:val="004040EC"/>
    <w:rsid w:val="0052761B"/>
    <w:rsid w:val="00757563"/>
    <w:rsid w:val="007A3F9A"/>
    <w:rsid w:val="007B6D52"/>
    <w:rsid w:val="009F3B5B"/>
    <w:rsid w:val="00A33EA3"/>
    <w:rsid w:val="00B54553"/>
    <w:rsid w:val="00CA1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4553"/>
    <w:rPr>
      <w:color w:val="0000FF"/>
      <w:u w:val="single"/>
    </w:rPr>
  </w:style>
  <w:style w:type="character" w:customStyle="1" w:styleId="apple-converted-space">
    <w:name w:val="apple-converted-space"/>
    <w:basedOn w:val="DefaultParagraphFont"/>
    <w:rsid w:val="007B6D52"/>
  </w:style>
  <w:style w:type="paragraph" w:styleId="NormalWeb">
    <w:name w:val="Normal (Web)"/>
    <w:basedOn w:val="Normal"/>
    <w:uiPriority w:val="99"/>
    <w:semiHidden/>
    <w:unhideWhenUsed/>
    <w:rsid w:val="007A3F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3F9A"/>
    <w:rPr>
      <w:b/>
      <w:bCs/>
    </w:rPr>
  </w:style>
  <w:style w:type="paragraph" w:styleId="ListParagraph">
    <w:name w:val="List Paragraph"/>
    <w:basedOn w:val="Normal"/>
    <w:uiPriority w:val="34"/>
    <w:qFormat/>
    <w:rsid w:val="00CA1FC0"/>
    <w:pPr>
      <w:ind w:left="720"/>
      <w:contextualSpacing/>
    </w:pPr>
  </w:style>
  <w:style w:type="paragraph" w:styleId="Header">
    <w:name w:val="header"/>
    <w:basedOn w:val="Normal"/>
    <w:link w:val="HeaderChar"/>
    <w:uiPriority w:val="99"/>
    <w:unhideWhenUsed/>
    <w:rsid w:val="00CA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FC0"/>
  </w:style>
  <w:style w:type="paragraph" w:styleId="Footer">
    <w:name w:val="footer"/>
    <w:basedOn w:val="Normal"/>
    <w:link w:val="FooterChar"/>
    <w:uiPriority w:val="99"/>
    <w:unhideWhenUsed/>
    <w:rsid w:val="00CA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F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4553"/>
    <w:rPr>
      <w:color w:val="0000FF"/>
      <w:u w:val="single"/>
    </w:rPr>
  </w:style>
  <w:style w:type="character" w:customStyle="1" w:styleId="apple-converted-space">
    <w:name w:val="apple-converted-space"/>
    <w:basedOn w:val="DefaultParagraphFont"/>
    <w:rsid w:val="007B6D52"/>
  </w:style>
  <w:style w:type="paragraph" w:styleId="NormalWeb">
    <w:name w:val="Normal (Web)"/>
    <w:basedOn w:val="Normal"/>
    <w:uiPriority w:val="99"/>
    <w:semiHidden/>
    <w:unhideWhenUsed/>
    <w:rsid w:val="007A3F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3F9A"/>
    <w:rPr>
      <w:b/>
      <w:bCs/>
    </w:rPr>
  </w:style>
  <w:style w:type="paragraph" w:styleId="ListParagraph">
    <w:name w:val="List Paragraph"/>
    <w:basedOn w:val="Normal"/>
    <w:uiPriority w:val="34"/>
    <w:qFormat/>
    <w:rsid w:val="00CA1FC0"/>
    <w:pPr>
      <w:ind w:left="720"/>
      <w:contextualSpacing/>
    </w:pPr>
  </w:style>
  <w:style w:type="paragraph" w:styleId="Header">
    <w:name w:val="header"/>
    <w:basedOn w:val="Normal"/>
    <w:link w:val="HeaderChar"/>
    <w:uiPriority w:val="99"/>
    <w:unhideWhenUsed/>
    <w:rsid w:val="00CA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FC0"/>
  </w:style>
  <w:style w:type="paragraph" w:styleId="Footer">
    <w:name w:val="footer"/>
    <w:basedOn w:val="Normal"/>
    <w:link w:val="FooterChar"/>
    <w:uiPriority w:val="99"/>
    <w:unhideWhenUsed/>
    <w:rsid w:val="00CA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236719">
      <w:bodyDiv w:val="1"/>
      <w:marLeft w:val="0"/>
      <w:marRight w:val="0"/>
      <w:marTop w:val="0"/>
      <w:marBottom w:val="0"/>
      <w:divBdr>
        <w:top w:val="none" w:sz="0" w:space="0" w:color="auto"/>
        <w:left w:val="none" w:sz="0" w:space="0" w:color="auto"/>
        <w:bottom w:val="none" w:sz="0" w:space="0" w:color="auto"/>
        <w:right w:val="none" w:sz="0" w:space="0" w:color="auto"/>
      </w:divBdr>
    </w:div>
    <w:div w:id="164457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anacademy.org/economics-finance-domain/macroeconomics/income-and-expenditure-topic/macroeconomics-keynesian-economics-and-its-critiques/v/keynesian-economic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khanacademy.org/economics-finance-domain/macroeconomics/income-and-expenditure-topic/macroeconomics-keynesian-economics-and-its-critiques/v/risks-of-keynesian-thin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Kunkel, Bobbi</dc:creator>
  <cp:lastModifiedBy>maggie</cp:lastModifiedBy>
  <cp:revision>2</cp:revision>
  <dcterms:created xsi:type="dcterms:W3CDTF">2019-04-25T11:35:00Z</dcterms:created>
  <dcterms:modified xsi:type="dcterms:W3CDTF">2019-04-25T11:35:00Z</dcterms:modified>
</cp:coreProperties>
</file>